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ind w:left="0" w:right="1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ind w:left="0" w:right="1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ind w:left="0" w:right="1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ind w:left="0" w:right="1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ind w:left="0" w:right="1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DOCUMENT FOR SCHOLARSHIPS / FREESHIPS AND FEE CONCESSIONS</w:t>
      </w:r>
    </w:p>
    <w:p w:rsidR="00000000" w:rsidDel="00000000" w:rsidP="00000000" w:rsidRDefault="00000000" w:rsidRPr="00000000" w14:paraId="00000006">
      <w:pPr>
        <w:spacing w:line="360" w:lineRule="auto"/>
        <w:ind w:left="0" w:right="1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institution supports the students by awarding them with scholarships and freeships. Financial aid is provided to students not only by the management but also by NGOs and private entities as recommended by the institution.</w:t>
      </w:r>
    </w:p>
    <w:p w:rsidR="00000000" w:rsidDel="00000000" w:rsidP="00000000" w:rsidRDefault="00000000" w:rsidRPr="00000000" w14:paraId="00000008">
      <w:pPr>
        <w:spacing w:line="36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ind w:left="0" w:right="1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00A">
      <w:pPr>
        <w:spacing w:line="36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2"/>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ensure that no admitted student discontinues her studies due to financial difficulties.</w:t>
      </w:r>
    </w:p>
    <w:p w:rsidR="00000000" w:rsidDel="00000000" w:rsidP="00000000" w:rsidRDefault="00000000" w:rsidRPr="00000000" w14:paraId="0000000C">
      <w:pPr>
        <w:numPr>
          <w:ilvl w:val="0"/>
          <w:numId w:val="2"/>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Facilitate students, avail various scholarship schemes.</w:t>
      </w:r>
    </w:p>
    <w:p w:rsidR="00000000" w:rsidDel="00000000" w:rsidP="00000000" w:rsidRDefault="00000000" w:rsidRPr="00000000" w14:paraId="0000000D">
      <w:pPr>
        <w:numPr>
          <w:ilvl w:val="0"/>
          <w:numId w:val="2"/>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help the student apply for scholarships at various levels (Central Government, State Government, Institutional level, and Non-governmental organizations.</w:t>
      </w:r>
    </w:p>
    <w:p w:rsidR="00000000" w:rsidDel="00000000" w:rsidP="00000000" w:rsidRDefault="00000000" w:rsidRPr="00000000" w14:paraId="0000000E">
      <w:pPr>
        <w:numPr>
          <w:ilvl w:val="0"/>
          <w:numId w:val="2"/>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fulfill the objectives, the college has a separate committee to look after the scholarship schemes (Central Government, State Government, Scholarships / Freeships, and Fee concessions) offered by the institution.</w:t>
      </w:r>
    </w:p>
    <w:p w:rsidR="00000000" w:rsidDel="00000000" w:rsidP="00000000" w:rsidRDefault="00000000" w:rsidRPr="00000000" w14:paraId="0000000F">
      <w:pPr>
        <w:numPr>
          <w:ilvl w:val="0"/>
          <w:numId w:val="2"/>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Committee deals with the allocation and distribution of scholarships by scrutinizing the documents for various scholarship schemes.</w:t>
      </w:r>
    </w:p>
    <w:p w:rsidR="00000000" w:rsidDel="00000000" w:rsidP="00000000" w:rsidRDefault="00000000" w:rsidRPr="00000000" w14:paraId="00000010">
      <w:pPr>
        <w:numPr>
          <w:ilvl w:val="0"/>
          <w:numId w:val="2"/>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also functions for the dissemination of information regarding various government and college-specific scholarship schemes.</w:t>
      </w:r>
    </w:p>
    <w:p w:rsidR="00000000" w:rsidDel="00000000" w:rsidP="00000000" w:rsidRDefault="00000000" w:rsidRPr="00000000" w14:paraId="00000011">
      <w:pPr>
        <w:numPr>
          <w:ilvl w:val="0"/>
          <w:numId w:val="2"/>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aspirants of Government scholarships shall apply directly for the scheme on the portal and the committee verifies the application of these students.  </w:t>
      </w:r>
    </w:p>
    <w:p w:rsidR="00000000" w:rsidDel="00000000" w:rsidP="00000000" w:rsidRDefault="00000000" w:rsidRPr="00000000" w14:paraId="00000012">
      <w:pPr>
        <w:spacing w:line="36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details of scholarships handled by the committee are </w:t>
      </w:r>
    </w:p>
    <w:p w:rsidR="00000000" w:rsidDel="00000000" w:rsidP="00000000" w:rsidRDefault="00000000" w:rsidRPr="00000000" w14:paraId="0000001A">
      <w:pPr>
        <w:spacing w:line="36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Scholarship for SC/ST students as per Government of Tamilnadu.</w:t>
      </w:r>
    </w:p>
    <w:p w:rsidR="00000000" w:rsidDel="00000000" w:rsidP="00000000" w:rsidRDefault="00000000" w:rsidRPr="00000000" w14:paraId="0000001C">
      <w:pPr>
        <w:numPr>
          <w:ilvl w:val="0"/>
          <w:numId w:val="1"/>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Scholarship for Minority students as per Government of Tamilnadu.</w:t>
      </w:r>
    </w:p>
    <w:p w:rsidR="00000000" w:rsidDel="00000000" w:rsidP="00000000" w:rsidRDefault="00000000" w:rsidRPr="00000000" w14:paraId="0000001D">
      <w:pPr>
        <w:numPr>
          <w:ilvl w:val="0"/>
          <w:numId w:val="1"/>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Scholarships to the academically meritorious students.</w:t>
      </w:r>
    </w:p>
    <w:p w:rsidR="00000000" w:rsidDel="00000000" w:rsidP="00000000" w:rsidRDefault="00000000" w:rsidRPr="00000000" w14:paraId="0000001E">
      <w:pPr>
        <w:numPr>
          <w:ilvl w:val="0"/>
          <w:numId w:val="1"/>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Scholarships are provided by non-governmental agencies.</w:t>
      </w:r>
    </w:p>
    <w:p w:rsidR="00000000" w:rsidDel="00000000" w:rsidP="00000000" w:rsidRDefault="00000000" w:rsidRPr="00000000" w14:paraId="0000001F">
      <w:pPr>
        <w:numPr>
          <w:ilvl w:val="0"/>
          <w:numId w:val="1"/>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Indira Gandhi Single Girl Child Scholarship for PG programs is provided by UGC.</w:t>
      </w:r>
    </w:p>
    <w:p w:rsidR="00000000" w:rsidDel="00000000" w:rsidP="00000000" w:rsidRDefault="00000000" w:rsidRPr="00000000" w14:paraId="00000020">
      <w:pPr>
        <w:numPr>
          <w:ilvl w:val="0"/>
          <w:numId w:val="1"/>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Freeships/Fee concessions</w:t>
      </w:r>
    </w:p>
    <w:p w:rsidR="00000000" w:rsidDel="00000000" w:rsidP="00000000" w:rsidRDefault="00000000" w:rsidRPr="00000000" w14:paraId="00000021">
      <w:pPr>
        <w:numPr>
          <w:ilvl w:val="0"/>
          <w:numId w:val="1"/>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Freeships are also offered to the students representing the college in various sports events conducted at International / National / State levels.</w:t>
      </w:r>
    </w:p>
    <w:p w:rsidR="00000000" w:rsidDel="00000000" w:rsidP="00000000" w:rsidRDefault="00000000" w:rsidRPr="00000000" w14:paraId="00000022">
      <w:pPr>
        <w:numPr>
          <w:ilvl w:val="0"/>
          <w:numId w:val="1"/>
        </w:numPr>
        <w:spacing w:line="360" w:lineRule="auto"/>
        <w:ind w:left="720" w:right="1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wards of faculty and office staff members of the college are also given fee concessions.</w:t>
      </w:r>
    </w:p>
    <w:p w:rsidR="00000000" w:rsidDel="00000000" w:rsidP="00000000" w:rsidRDefault="00000000" w:rsidRPr="00000000" w14:paraId="00000023">
      <w:pPr>
        <w:spacing w:line="36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3238500</wp:posOffset>
            </wp:positionH>
            <wp:positionV relativeFrom="paragraph">
              <wp:posOffset>123825</wp:posOffset>
            </wp:positionV>
            <wp:extent cx="2376488" cy="149562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76488" cy="1495627"/>
                    </a:xfrm>
                    <a:prstGeom prst="rect"/>
                    <a:ln/>
                  </pic:spPr>
                </pic:pic>
              </a:graphicData>
            </a:graphic>
          </wp:anchor>
        </w:drawing>
      </w:r>
    </w:p>
    <w:sectPr>
      <w:pgSz w:h="16838" w:w="11906" w:orient="portrait"/>
      <w:pgMar w:bottom="1440.0000000000002" w:top="2834.645669291339"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